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SMAAT</w:t>
      </w:r>
      <w:r>
        <w:t xml:space="preserve"> </w:t>
      </w:r>
      <w:r>
        <w:t xml:space="preserve">—</w:t>
      </w:r>
      <w:r>
        <w:t xml:space="preserve"> </w:t>
      </w:r>
      <w:r>
        <w:t xml:space="preserve">Text</w:t>
      </w:r>
      <w:r>
        <w:t xml:space="preserve"> </w:t>
      </w:r>
      <w:r>
        <w:t xml:space="preserve">for</w:t>
      </w:r>
      <w:r>
        <w:t xml:space="preserve"> </w:t>
      </w:r>
      <w:r>
        <w:t xml:space="preserve">IRB</w:t>
      </w:r>
      <w:r>
        <w:t xml:space="preserve"> </w:t>
      </w:r>
      <w:r>
        <w:t xml:space="preserve">/</w:t>
      </w:r>
      <w:r>
        <w:t xml:space="preserve"> </w:t>
      </w:r>
      <w:r>
        <w:t xml:space="preserve">Ethics</w:t>
      </w:r>
      <w:r>
        <w:t xml:space="preserve"> </w:t>
      </w:r>
      <w:r>
        <w:t xml:space="preserve">submission</w:t>
      </w:r>
    </w:p>
    <w:p>
      <w:pPr>
        <w:pStyle w:val="Subtitle"/>
      </w:pPr>
      <w:r>
        <w:t xml:space="preserve">Paste-and-adjust</w:t>
      </w:r>
      <w:r>
        <w:t xml:space="preserve"> </w:t>
      </w:r>
      <w:r>
        <w:t xml:space="preserve">template</w:t>
      </w:r>
      <w:r>
        <w:t xml:space="preserve"> </w:t>
      </w:r>
      <w:r>
        <w:t xml:space="preserve">for</w:t>
      </w:r>
      <w:r>
        <w:t xml:space="preserve"> </w:t>
      </w:r>
      <w:r>
        <w:t xml:space="preserve">institutional</w:t>
      </w:r>
      <w:r>
        <w:t xml:space="preserve"> </w:t>
      </w:r>
      <w:r>
        <w:t xml:space="preserve">review</w:t>
      </w:r>
      <w:r>
        <w:t xml:space="preserve"> </w:t>
      </w:r>
      <w:r>
        <w:t xml:space="preserve">boards</w:t>
      </w:r>
    </w:p>
    <w:p>
      <w:pPr>
        <w:pStyle w:val="Date"/>
      </w:pPr>
      <w:r>
        <w:t xml:space="preserve">Last</w:t>
      </w:r>
      <w:r>
        <w:t xml:space="preserve"> </w:t>
      </w:r>
      <w:r>
        <w:t xml:space="preserve">updated:</w:t>
      </w:r>
      <w:r>
        <w:t xml:space="preserve"> </w:t>
      </w:r>
      <w:r>
        <w:t xml:space="preserve">2026-05-27</w:t>
      </w:r>
    </w:p>
    <w:p>
      <w:pPr>
        <w:pStyle w:val="Heading1"/>
      </w:pPr>
      <w:bookmarkStart w:id="20" w:name="smaat-text-for-irb-ethics-submission"/>
      <w:r>
        <w:t xml:space="preserve">SMAAT — Text for IRB / Ethics submission</w:t>
      </w:r>
      <w:bookmarkEnd w:id="20"/>
    </w:p>
    <w:p>
      <w:pPr>
        <w:pStyle w:val="FirstParagraph"/>
      </w:pPr>
      <w:r>
        <w:rPr>
          <w:b/>
        </w:rPr>
        <w:t xml:space="preserve">A paste-and-adjust block of text for institutional review boards considering studies that use the SMAAT platform.</w:t>
      </w:r>
    </w:p>
    <w:p>
      <w:pPr>
        <w:pStyle w:val="BodyText"/>
      </w:pPr>
      <w:r>
        <w:t xml:space="preserve">Replace every bracketed</w:t>
      </w:r>
      <w:r>
        <w:t xml:space="preserve"> </w:t>
      </w:r>
      <w:r>
        <w:rPr>
          <w:rStyle w:val="VerbatimChar"/>
        </w:rPr>
        <w:t xml:space="preserve">[placeholder]</w:t>
      </w:r>
      <w:r>
        <w:t xml:space="preserve"> </w:t>
      </w:r>
      <w:r>
        <w:t xml:space="preserve">with your study’s specifics. The text below assumes you are the data Controller (Art. 4(7) GDPR); SMAAT (Open Lab Online UG) is the data Processor (Art. 4(8) GDPR).</w:t>
      </w:r>
    </w:p>
    <w:p>
      <w:r>
        <w:pict>
          <v:rect style="width:0;height:1.5pt" o:hralign="center" o:hrstd="t" o:hr="t"/>
        </w:pict>
      </w:r>
    </w:p>
    <w:p>
      <w:pPr>
        <w:pStyle w:val="Heading2"/>
      </w:pPr>
      <w:bookmarkStart w:id="21" w:name="platform-description"/>
      <w:r>
        <w:t xml:space="preserve">1. Platform description</w:t>
      </w:r>
      <w:bookmarkEnd w:id="21"/>
    </w:p>
    <w:p>
      <w:pPr>
        <w:pStyle w:val="FirstParagraph"/>
      </w:pPr>
      <w:r>
        <w:t xml:space="preserve">This study collects data through the SMAAT platform (Sensor-based Mobile Application for Assessment and Tracking, available at https://smaat.eu), provided by Open Lab Online UG (haftungsbeschränkt), Germany. SMAAT is a research platform that enables experience-sampling and ambulatory-assessment studies on smartphones. Researchers design study protocols on the SMAAT web dashboard; participants install the SMAAT mobile application (Apple App Store and Google Play) and join the study via a code, link, or QR code.</w:t>
      </w:r>
    </w:p>
    <w:p>
      <w:pPr>
        <w:pStyle w:val="Heading2"/>
      </w:pPr>
      <w:bookmarkStart w:id="22" w:name="data-collected-from-participants"/>
      <w:r>
        <w:t xml:space="preserve">2. Data collected from participants</w:t>
      </w:r>
      <w:bookmarkEnd w:id="22"/>
    </w:p>
    <w:p>
      <w:pPr>
        <w:pStyle w:val="FirstParagraph"/>
      </w:pPr>
      <w:r>
        <w:t xml:space="preserve">Data collected from participants in this study includes:</w:t>
      </w:r>
    </w:p>
    <w:p>
      <w:pPr>
        <w:pStyle w:val="Compact"/>
        <w:numPr>
          <w:numId w:val="1001"/>
          <w:ilvl w:val="0"/>
        </w:numPr>
      </w:pPr>
      <w:r>
        <w:rPr>
          <w:b/>
        </w:rPr>
        <w:t xml:space="preserve">Survey responses</w:t>
      </w:r>
      <w:r>
        <w:t xml:space="preserve"> </w:t>
      </w:r>
      <w:r>
        <w:t xml:space="preserve">— answers to the questionnaire items configured by the investigator. The complete item list is included as Appendix A of this submission.</w:t>
      </w:r>
    </w:p>
    <w:p>
      <w:pPr>
        <w:pStyle w:val="Compact"/>
        <w:numPr>
          <w:numId w:val="1001"/>
          <w:ilvl w:val="0"/>
        </w:numPr>
      </w:pPr>
      <w:r>
        <w:rPr>
          <w:b/>
        </w:rPr>
        <w:t xml:space="preserve">Notification metadata</w:t>
      </w:r>
      <w:r>
        <w:t xml:space="preserve"> </w:t>
      </w:r>
      <w:r>
        <w:t xml:space="preserve">— timestamps of when prompts were delivered and when participants responded.</w:t>
      </w:r>
    </w:p>
    <w:p>
      <w:pPr>
        <w:pStyle w:val="Compact"/>
        <w:numPr>
          <w:numId w:val="1001"/>
          <w:ilvl w:val="0"/>
        </w:numPr>
      </w:pPr>
      <w:r>
        <w:rPr>
          <w:b/>
        </w:rPr>
        <w:t xml:space="preserve">Cognitive task data</w:t>
      </w:r>
      <w:r>
        <w:t xml:space="preserve"> </w:t>
      </w:r>
      <w:r>
        <w:rPr>
          <w:i/>
        </w:rPr>
        <w:t xml:space="preserve">(only if used)</w:t>
      </w:r>
      <w:r>
        <w:t xml:space="preserve"> </w:t>
      </w:r>
      <w:r>
        <w:t xml:space="preserve">— per-trial accuracy and reaction-time data for the cognitive tasks configured by the investigator.</w:t>
      </w:r>
    </w:p>
    <w:p>
      <w:pPr>
        <w:pStyle w:val="Compact"/>
        <w:numPr>
          <w:numId w:val="1001"/>
          <w:ilvl w:val="0"/>
        </w:numPr>
      </w:pPr>
      <w:r>
        <w:rPr>
          <w:b/>
        </w:rPr>
        <w:t xml:space="preserve">Sensor data</w:t>
      </w:r>
      <w:r>
        <w:t xml:space="preserve"> </w:t>
      </w:r>
      <w:r>
        <w:rPr>
          <w:i/>
        </w:rPr>
        <w:t xml:space="preserve">(only if used)</w:t>
      </w:r>
      <w:r>
        <w:t xml:space="preserve"> </w:t>
      </w:r>
      <w:r>
        <w:t xml:space="preserve">— GPS, accelerometer, gyroscope, magnetometer, pedometer, barometer. The investigator has enabled the following sensors for this study:</w:t>
      </w:r>
      <w:r>
        <w:t xml:space="preserve"> </w:t>
      </w:r>
      <w:r>
        <w:rPr>
          <w:b/>
        </w:rPr>
        <w:t xml:space="preserve">[list, or</w:t>
      </w:r>
      <w:r>
        <w:rPr>
          <w:b/>
        </w:rPr>
        <w:t xml:space="preserve"> </w:t>
      </w:r>
      <w:r>
        <w:rPr>
          <w:b/>
        </w:rPr>
        <w:t xml:space="preserve">“</w:t>
      </w:r>
      <w:r>
        <w:rPr>
          <w:b/>
        </w:rPr>
        <w:t xml:space="preserve">none</w:t>
      </w:r>
      <w:r>
        <w:rPr>
          <w:b/>
        </w:rPr>
        <w:t xml:space="preserve">”</w:t>
      </w:r>
      <w:r>
        <w:rPr>
          <w:b/>
        </w:rPr>
        <w:t xml:space="preserve">]</w:t>
      </w:r>
      <w:r>
        <w:t xml:space="preserve">.</w:t>
      </w:r>
    </w:p>
    <w:p>
      <w:pPr>
        <w:pStyle w:val="Compact"/>
        <w:numPr>
          <w:numId w:val="1001"/>
          <w:ilvl w:val="0"/>
        </w:numPr>
      </w:pPr>
      <w:r>
        <w:rPr>
          <w:b/>
        </w:rPr>
        <w:t xml:space="preserve">Device metadata</w:t>
      </w:r>
      <w:r>
        <w:t xml:space="preserve"> </w:t>
      </w:r>
      <w:r>
        <w:t xml:space="preserve">— operating-system version, screen size, app version, locale. Used for compatibility and quality assurance.</w:t>
      </w:r>
    </w:p>
    <w:p>
      <w:pPr>
        <w:pStyle w:val="Compact"/>
        <w:numPr>
          <w:numId w:val="1001"/>
          <w:ilvl w:val="0"/>
        </w:numPr>
      </w:pPr>
      <w:r>
        <w:rPr>
          <w:b/>
        </w:rPr>
        <w:t xml:space="preserve">Account data</w:t>
      </w:r>
      <w:r>
        <w:t xml:space="preserve"> </w:t>
      </w:r>
      <w:r>
        <w:t xml:space="preserve">— username, optional email address (for password recovery only), and a per-study participant code.</w:t>
      </w:r>
    </w:p>
    <w:p>
      <w:pPr>
        <w:pStyle w:val="FirstParagraph"/>
      </w:pPr>
      <w:r>
        <w:t xml:space="preserve">No data is collected from participants that has not been disclosed in the informed-consent form.</w:t>
      </w:r>
    </w:p>
    <w:p>
      <w:pPr>
        <w:pStyle w:val="Heading2"/>
      </w:pPr>
      <w:bookmarkStart w:id="23" w:name="lawful-basis-for-processing-gdpr"/>
      <w:r>
        <w:t xml:space="preserve">3. Lawful basis for processing (GDPR)</w:t>
      </w:r>
      <w:bookmarkEnd w:id="23"/>
    </w:p>
    <w:p>
      <w:pPr>
        <w:pStyle w:val="FirstParagraph"/>
      </w:pPr>
      <w:r>
        <w:t xml:space="preserve">The lawful basis for processing personal data in this study is</w:t>
      </w:r>
      <w:r>
        <w:t xml:space="preserve"> </w:t>
      </w:r>
      <w:r>
        <w:rPr>
          <w:b/>
        </w:rPr>
        <w:t xml:space="preserve">[explicit consent under Art. 6(1)(a) GDPR and Art. 9(2)(a) GDPR where special-category data is involved]</w:t>
      </w:r>
      <w:r>
        <w:t xml:space="preserve"> </w:t>
      </w:r>
      <w:r>
        <w:t xml:space="preserve">/</w:t>
      </w:r>
      <w:r>
        <w:t xml:space="preserve"> </w:t>
      </w:r>
      <w:r>
        <w:rPr>
          <w:b/>
        </w:rPr>
        <w:t xml:space="preserve">[scientific research in the public interest under Art. 6(1)(e) and Art. 9(2)(j) GDPR with Member State derogations]</w:t>
      </w:r>
      <w:r>
        <w:t xml:space="preserve">.</w:t>
      </w:r>
      <w:r>
        <w:t xml:space="preserve"> </w:t>
      </w:r>
      <w:r>
        <w:rPr>
          <w:i/>
        </w:rPr>
        <w:t xml:space="preserve">(Pick one; consult your institution’s DPO if unsure.)</w:t>
      </w:r>
    </w:p>
    <w:p>
      <w:pPr>
        <w:pStyle w:val="BodyText"/>
      </w:pPr>
      <w:r>
        <w:t xml:space="preserve">The investigator is the data Controller for this study. Open Lab Online UG is the data Processor and processes data on documented instructions of the investigator under a Data Processing Agreement (available on request from info@open-lab.online).</w:t>
      </w:r>
    </w:p>
    <w:p>
      <w:pPr>
        <w:pStyle w:val="Heading2"/>
      </w:pPr>
      <w:bookmarkStart w:id="24" w:name="informed-consent"/>
      <w:r>
        <w:t xml:space="preserve">4. Informed consent</w:t>
      </w:r>
      <w:bookmarkEnd w:id="24"/>
    </w:p>
    <w:p>
      <w:pPr>
        <w:pStyle w:val="FirstParagraph"/>
      </w:pPr>
      <w:r>
        <w:t xml:space="preserve">Before enrolment, participants review the informed-consent form embedded in the SMAAT mobile app. They cannot proceed to data collection without giving explicit consent. The consent form includes:</w:t>
      </w:r>
    </w:p>
    <w:p>
      <w:pPr>
        <w:pStyle w:val="Compact"/>
        <w:numPr>
          <w:numId w:val="1002"/>
          <w:ilvl w:val="0"/>
        </w:numPr>
      </w:pPr>
      <w:r>
        <w:t xml:space="preserve">The identity of the Controller (investigator) and Processor (SMAAT).</w:t>
      </w:r>
    </w:p>
    <w:p>
      <w:pPr>
        <w:pStyle w:val="Compact"/>
        <w:numPr>
          <w:numId w:val="1002"/>
          <w:ilvl w:val="0"/>
        </w:numPr>
      </w:pPr>
      <w:r>
        <w:t xml:space="preserve">The purpose of processing and the categories of data collected.</w:t>
      </w:r>
    </w:p>
    <w:p>
      <w:pPr>
        <w:pStyle w:val="Compact"/>
        <w:numPr>
          <w:numId w:val="1002"/>
          <w:ilvl w:val="0"/>
        </w:numPr>
      </w:pPr>
      <w:r>
        <w:t xml:space="preserve">The retention period and rights to withdraw, access, rectify, erase, restrict, port, and object.</w:t>
      </w:r>
    </w:p>
    <w:p>
      <w:pPr>
        <w:pStyle w:val="Compact"/>
        <w:numPr>
          <w:numId w:val="1002"/>
          <w:ilvl w:val="0"/>
        </w:numPr>
      </w:pPr>
      <w:r>
        <w:t xml:space="preserve">Sub-processors and any international transfers (see §6).</w:t>
      </w:r>
    </w:p>
    <w:p>
      <w:pPr>
        <w:pStyle w:val="Compact"/>
        <w:numPr>
          <w:numId w:val="1002"/>
          <w:ilvl w:val="0"/>
        </w:numPr>
      </w:pPr>
      <w:r>
        <w:t xml:space="preserve">Contact details for the investigator and the institutional DPO.</w:t>
      </w:r>
    </w:p>
    <w:p>
      <w:pPr>
        <w:pStyle w:val="FirstParagraph"/>
      </w:pPr>
      <w:r>
        <w:t xml:space="preserve">A copy of the consent form is included as Appendix B of this submission.</w:t>
      </w:r>
    </w:p>
    <w:p>
      <w:pPr>
        <w:pStyle w:val="Heading2"/>
      </w:pPr>
      <w:bookmarkStart w:id="25" w:name="encryption-and-data-security"/>
      <w:r>
        <w:t xml:space="preserve">5. Encryption and data security</w:t>
      </w:r>
      <w:bookmarkEnd w:id="25"/>
    </w:p>
    <w:p>
      <w:pPr>
        <w:pStyle w:val="FirstParagraph"/>
      </w:pPr>
      <w:r>
        <w:t xml:space="preserve">Data is encrypted in transit using TLS 1.2 or higher between the participant’s device, the SMAAT mobile application, and the SMAAT backend. Data is encrypted at rest in the PostgreSQL database and S3-compatible object storage.</w:t>
      </w:r>
    </w:p>
    <w:p>
      <w:pPr>
        <w:pStyle w:val="BodyText"/>
      </w:pPr>
      <w:r>
        <w:t xml:space="preserve">This study</w:t>
      </w:r>
      <w:r>
        <w:t xml:space="preserve"> </w:t>
      </w:r>
      <w:r>
        <w:rPr>
          <w:b/>
        </w:rPr>
        <w:t xml:space="preserve">[uses / does not use]</w:t>
      </w:r>
      <w:r>
        <w:t xml:space="preserve"> </w:t>
      </w:r>
      <w:r>
        <w:t xml:space="preserve">the optional end-to-end encryption feature, in which survey responses and sensor data are encrypted on the participant’s device with a public key, and can only be decrypted by the investigator holding the corresponding private key.</w:t>
      </w:r>
      <w:r>
        <w:t xml:space="preserve"> </w:t>
      </w:r>
      <w:r>
        <w:rPr>
          <w:i/>
        </w:rPr>
        <w:t xml:space="preserve">(If used:)</w:t>
      </w:r>
      <w:r>
        <w:t xml:space="preserve"> </w:t>
      </w:r>
      <w:r>
        <w:t xml:space="preserve">Open Lab Online UG does not have access to the decryption key and cannot read the data.</w:t>
      </w:r>
    </w:p>
    <w:p>
      <w:pPr>
        <w:pStyle w:val="BodyText"/>
      </w:pPr>
      <w:r>
        <w:t xml:space="preserve">The investigator has downloaded and securely stored the private key. Loss of the private key is irreversible: data encrypted with that key cannot be recovered.</w:t>
      </w:r>
    </w:p>
    <w:p>
      <w:pPr>
        <w:pStyle w:val="Heading2"/>
      </w:pPr>
      <w:bookmarkStart w:id="26" w:name="data-location-and-sub-processors"/>
      <w:r>
        <w:t xml:space="preserve">6. Data location and sub-processors</w:t>
      </w:r>
      <w:bookmarkEnd w:id="26"/>
    </w:p>
    <w:p>
      <w:pPr>
        <w:pStyle w:val="FirstParagraph"/>
      </w:pPr>
      <w:r>
        <w:t xml:space="preserve">Primary infrastructure (PostgreSQL database, application servers, object storage) is located in DigitalOcean’s Frankfurt (Germany) region, within the European Union.</w:t>
      </w:r>
    </w:p>
    <w:p>
      <w:pPr>
        <w:pStyle w:val="BodyText"/>
      </w:pPr>
      <w:r>
        <w:t xml:space="preserve">The complete list of sub-processors and their roles is published and kept current at https://smaat.eu/security#subprocessors. As of the submission of this protocol, the sub-processors are:</w:t>
      </w:r>
    </w:p>
    <w:p>
      <w:pPr>
        <w:pStyle w:val="Compact"/>
        <w:numPr>
          <w:numId w:val="1003"/>
          <w:ilvl w:val="0"/>
        </w:numPr>
      </w:pPr>
      <w:r>
        <w:rPr>
          <w:b/>
        </w:rPr>
        <w:t xml:space="preserve">DigitalOcean</w:t>
      </w:r>
      <w:r>
        <w:t xml:space="preserve"> </w:t>
      </w:r>
      <w:r>
        <w:t xml:space="preserve">— application hosting and object storage (Frankfurt, Germany; EU).</w:t>
      </w:r>
    </w:p>
    <w:p>
      <w:pPr>
        <w:pStyle w:val="Compact"/>
        <w:numPr>
          <w:numId w:val="1003"/>
          <w:ilvl w:val="0"/>
        </w:numPr>
      </w:pPr>
      <w:r>
        <w:rPr>
          <w:b/>
        </w:rPr>
        <w:t xml:space="preserve">Cloudinary</w:t>
      </w:r>
      <w:r>
        <w:t xml:space="preserve"> </w:t>
      </w:r>
      <w:r>
        <w:t xml:space="preserve">— image hosting and transformation (multi-region).</w:t>
      </w:r>
    </w:p>
    <w:p>
      <w:pPr>
        <w:pStyle w:val="Compact"/>
        <w:numPr>
          <w:numId w:val="1003"/>
          <w:ilvl w:val="0"/>
        </w:numPr>
      </w:pPr>
      <w:r>
        <w:rPr>
          <w:b/>
        </w:rPr>
        <w:t xml:space="preserve">Postmark (ActiveCampaign)</w:t>
      </w:r>
      <w:r>
        <w:t xml:space="preserve"> </w:t>
      </w:r>
      <w:r>
        <w:t xml:space="preserve">— transactional email (United States).</w:t>
      </w:r>
    </w:p>
    <w:p>
      <w:pPr>
        <w:pStyle w:val="Compact"/>
        <w:numPr>
          <w:numId w:val="1003"/>
          <w:ilvl w:val="0"/>
        </w:numPr>
      </w:pPr>
      <w:r>
        <w:rPr>
          <w:b/>
        </w:rPr>
        <w:t xml:space="preserve">Stripe</w:t>
      </w:r>
      <w:r>
        <w:t xml:space="preserve"> </w:t>
      </w:r>
      <w:r>
        <w:t xml:space="preserve">— subscription billing for the researcher account; participant data is not transmitted to Stripe (Ireland / United States).</w:t>
      </w:r>
    </w:p>
    <w:p>
      <w:pPr>
        <w:pStyle w:val="Compact"/>
        <w:numPr>
          <w:numId w:val="1003"/>
          <w:ilvl w:val="0"/>
        </w:numPr>
      </w:pPr>
      <w:r>
        <w:rPr>
          <w:b/>
        </w:rPr>
        <w:t xml:space="preserve">Expo / EAS</w:t>
      </w:r>
      <w:r>
        <w:t xml:space="preserve"> </w:t>
      </w:r>
      <w:r>
        <w:t xml:space="preserve">— push-notification delivery (United States).</w:t>
      </w:r>
    </w:p>
    <w:p>
      <w:pPr>
        <w:pStyle w:val="Compact"/>
        <w:numPr>
          <w:numId w:val="1003"/>
          <w:ilvl w:val="0"/>
        </w:numPr>
      </w:pPr>
      <w:r>
        <w:rPr>
          <w:b/>
        </w:rPr>
        <w:t xml:space="preserve">Apple Push Notification service (APNs)</w:t>
      </w:r>
      <w:r>
        <w:t xml:space="preserve"> </w:t>
      </w:r>
      <w:r>
        <w:t xml:space="preserve">— iOS push routing (United States / EU).</w:t>
      </w:r>
    </w:p>
    <w:p>
      <w:pPr>
        <w:pStyle w:val="Compact"/>
        <w:numPr>
          <w:numId w:val="1003"/>
          <w:ilvl w:val="0"/>
        </w:numPr>
      </w:pPr>
      <w:r>
        <w:rPr>
          <w:b/>
        </w:rPr>
        <w:t xml:space="preserve">Firebase Cloud Messaging (Google)</w:t>
      </w:r>
      <w:r>
        <w:t xml:space="preserve"> </w:t>
      </w:r>
      <w:r>
        <w:t xml:space="preserve">— Android push routing (United States / EU).</w:t>
      </w:r>
    </w:p>
    <w:p>
      <w:pPr>
        <w:pStyle w:val="FirstParagraph"/>
      </w:pPr>
      <w:r>
        <w:t xml:space="preserve">International transfers to sub-processors outside the EU/EEA rely on Standard Contractual Clauses (Art. 46(2)(c) GDPR) or another mechanism authorised under Chapter V GDPR. The Data Processing Agreement provided by Open Lab Online UG covers these transfers in writing.</w:t>
      </w:r>
    </w:p>
    <w:p>
      <w:pPr>
        <w:pStyle w:val="Heading2"/>
      </w:pPr>
      <w:bookmarkStart w:id="27" w:name="data-retention"/>
      <w:r>
        <w:t xml:space="preserve">7. Data retention</w:t>
      </w:r>
      <w:bookmarkEnd w:id="27"/>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Phase</w:t>
            </w:r>
          </w:p>
        </w:tc>
        <w:tc>
          <w:tcPr>
            <w:tcBorders>
              <w:bottom w:val="single"/>
            </w:tcBorders>
            <w:vAlign w:val="bottom"/>
          </w:tcPr>
          <w:p>
            <w:pPr>
              <w:pStyle w:val="Compact"/>
              <w:jc w:val="left"/>
            </w:pPr>
            <w:r>
              <w:t xml:space="preserve">Retention</w:t>
            </w:r>
          </w:p>
        </w:tc>
      </w:tr>
      <w:tr>
        <w:tc>
          <w:p>
            <w:pPr>
              <w:pStyle w:val="Compact"/>
              <w:jc w:val="left"/>
            </w:pPr>
            <w:r>
              <w:t xml:space="preserve">During the active study</w:t>
            </w:r>
          </w:p>
        </w:tc>
        <w:tc>
          <w:p>
            <w:pPr>
              <w:pStyle w:val="Compact"/>
              <w:jc w:val="left"/>
            </w:pPr>
            <w:r>
              <w:t xml:space="preserve">Indefinite, as configured by the investigator.</w:t>
            </w:r>
          </w:p>
        </w:tc>
      </w:tr>
      <w:tr>
        <w:tc>
          <w:p>
            <w:pPr>
              <w:pStyle w:val="Compact"/>
              <w:jc w:val="left"/>
            </w:pPr>
            <w:r>
              <w:t xml:space="preserve">After study completion</w:t>
            </w:r>
          </w:p>
        </w:tc>
        <w:tc>
          <w:p>
            <w:pPr>
              <w:pStyle w:val="Compact"/>
              <w:jc w:val="left"/>
            </w:pPr>
            <w:r>
              <w:rPr>
                <w:b/>
              </w:rPr>
              <w:t xml:space="preserve">[X months / years]</w:t>
            </w:r>
            <w:r>
              <w:t xml:space="preserve"> </w:t>
            </w:r>
            <w:r>
              <w:t xml:space="preserve">before deletion or anonymisation, per institutional policy.</w:t>
            </w:r>
          </w:p>
        </w:tc>
      </w:tr>
      <w:tr>
        <w:tc>
          <w:p>
            <w:pPr>
              <w:pStyle w:val="Compact"/>
              <w:jc w:val="left"/>
            </w:pPr>
            <w:r>
              <w:t xml:space="preserve">Free-plan studies</w:t>
            </w:r>
          </w:p>
        </w:tc>
        <w:tc>
          <w:p>
            <w:pPr>
              <w:pStyle w:val="Compact"/>
              <w:jc w:val="left"/>
            </w:pPr>
            <w:r>
              <w:t xml:space="preserve">A 12-month rolling window applies; datasets older than 12 months are auto-deleted by SMAAT.</w:t>
            </w:r>
            <w:r>
              <w:t xml:space="preserve"> </w:t>
            </w:r>
            <w:r>
              <w:rPr>
                <w:i/>
              </w:rPr>
              <w:t xml:space="preserve">Omit if on a paid plan.</w:t>
            </w:r>
          </w:p>
        </w:tc>
      </w:tr>
    </w:tbl>
    <w:p>
      <w:pPr>
        <w:pStyle w:val="BodyText"/>
      </w:pPr>
      <w:r>
        <w:t xml:space="preserve">The investigator is responsible for exporting data and triggering deletion within the timeline above. Study deletion in SMAAT is permanent and removes data from production and from backups within the next backup cycle.</w:t>
      </w:r>
    </w:p>
    <w:p>
      <w:pPr>
        <w:pStyle w:val="Heading2"/>
      </w:pPr>
      <w:bookmarkStart w:id="28" w:name="participant-rights"/>
      <w:r>
        <w:t xml:space="preserve">8. Participant rights</w:t>
      </w:r>
      <w:bookmarkEnd w:id="28"/>
    </w:p>
    <w:p>
      <w:pPr>
        <w:pStyle w:val="FirstParagraph"/>
      </w:pPr>
      <w:r>
        <w:t xml:space="preserve">Participants may at any time:</w:t>
      </w:r>
    </w:p>
    <w:p>
      <w:pPr>
        <w:pStyle w:val="Compact"/>
        <w:numPr>
          <w:numId w:val="1004"/>
          <w:ilvl w:val="0"/>
        </w:numPr>
      </w:pPr>
      <w:r>
        <w:rPr>
          <w:b/>
        </w:rPr>
        <w:t xml:space="preserve">Withdraw</w:t>
      </w:r>
      <w:r>
        <w:t xml:space="preserve"> </w:t>
      </w:r>
      <w:r>
        <w:t xml:space="preserve">from the study via the mobile app’s study settings. Withdrawal immediately stops notifications and ongoing passive data collection. Already-collected data is retained or deleted as requested under the next bullet.</w:t>
      </w:r>
    </w:p>
    <w:p>
      <w:pPr>
        <w:pStyle w:val="Compact"/>
        <w:numPr>
          <w:numId w:val="1004"/>
          <w:ilvl w:val="0"/>
        </w:numPr>
      </w:pPr>
      <w:r>
        <w:rPr>
          <w:b/>
        </w:rPr>
        <w:t xml:space="preserve">Request access, rectification, erasure, restriction, portability, or objection</w:t>
      </w:r>
      <w:r>
        <w:t xml:space="preserve"> </w:t>
      </w:r>
      <w:r>
        <w:t xml:space="preserve">by contacting the investigator at</w:t>
      </w:r>
      <w:r>
        <w:t xml:space="preserve"> </w:t>
      </w:r>
      <w:r>
        <w:rPr>
          <w:b/>
        </w:rPr>
        <w:t xml:space="preserve">[investigator contact email]</w:t>
      </w:r>
      <w:r>
        <w:t xml:space="preserve">. The investigator has the technical means to fulfil each of these requests through the SMAAT platform.</w:t>
      </w:r>
    </w:p>
    <w:p>
      <w:pPr>
        <w:pStyle w:val="Compact"/>
        <w:numPr>
          <w:numId w:val="1004"/>
          <w:ilvl w:val="0"/>
        </w:numPr>
      </w:pPr>
      <w:r>
        <w:rPr>
          <w:b/>
        </w:rPr>
        <w:t xml:space="preserve">Delete their participant account</w:t>
      </w:r>
      <w:r>
        <w:t xml:space="preserve"> </w:t>
      </w:r>
      <w:r>
        <w:t xml:space="preserve">in the SMAAT mobile app. Account deletion is irreversible.</w:t>
      </w:r>
    </w:p>
    <w:p>
      <w:pPr>
        <w:pStyle w:val="Heading2"/>
      </w:pPr>
      <w:bookmarkStart w:id="29" w:name="breach-notification"/>
      <w:r>
        <w:t xml:space="preserve">9. Breach notification</w:t>
      </w:r>
      <w:bookmarkEnd w:id="29"/>
    </w:p>
    <w:p>
      <w:pPr>
        <w:pStyle w:val="FirstParagraph"/>
      </w:pPr>
      <w:r>
        <w:t xml:space="preserve">In the event of a personal data breach affecting this study’s data, Open Lab Online UG will notify the investigator without undue delay and in any event within 72 hours of becoming aware of the breach, providing the information required by Art. 33 GDPR. The investigator will assess the breach and notify the institutional DPO and the supervisory authority as required.</w:t>
      </w:r>
    </w:p>
    <w:p>
      <w:pPr>
        <w:pStyle w:val="Heading2"/>
      </w:pPr>
      <w:bookmarkStart w:id="30" w:name="audit-and-oversight"/>
      <w:r>
        <w:t xml:space="preserve">10. Audit and oversight</w:t>
      </w:r>
      <w:bookmarkEnd w:id="30"/>
    </w:p>
    <w:p>
      <w:pPr>
        <w:pStyle w:val="FirstParagraph"/>
      </w:pPr>
      <w:r>
        <w:t xml:space="preserve">The investigator may, once per calendar year, audit Open Lab Online UG’s compliance with the Data Processing Agreement, either by reviewing the current security documentation at https://smaat.eu/security or by reasonable additional means agreed in writing.</w:t>
      </w:r>
    </w:p>
    <w:p>
      <w:pPr>
        <w:pStyle w:val="BodyText"/>
      </w:pPr>
      <w:r>
        <w:t xml:space="preserve">The investigator confirms that this study has been reviewed and approved by the institutional ethics committee under reference</w:t>
      </w:r>
      <w:r>
        <w:t xml:space="preserve"> </w:t>
      </w:r>
      <w:r>
        <w:rPr>
          <w:b/>
        </w:rPr>
        <w:t xml:space="preserve">[committee reference number, date]</w:t>
      </w:r>
      <w:r>
        <w:t xml:space="preserve">.</w:t>
      </w:r>
    </w:p>
    <w:p>
      <w:r>
        <w:pict>
          <v:rect style="width:0;height:1.5pt" o:hralign="center" o:hrstd="t" o:hr="t"/>
        </w:pict>
      </w:r>
    </w:p>
    <w:p>
      <w:pPr>
        <w:pStyle w:val="Heading2"/>
      </w:pPr>
      <w:bookmarkStart w:id="31" w:name="appendix-a-survey-items"/>
      <w:r>
        <w:t xml:space="preserve">Appendix A — Survey items</w:t>
      </w:r>
      <w:bookmarkEnd w:id="31"/>
    </w:p>
    <w:p>
      <w:pPr>
        <w:pStyle w:val="FirstParagraph"/>
      </w:pPr>
      <w:r>
        <w:rPr>
          <w:i/>
        </w:rPr>
        <w:t xml:space="preserve">(Attach your complete item set here, with question text and response format.)</w:t>
      </w:r>
    </w:p>
    <w:p>
      <w:r>
        <w:pict>
          <v:rect style="width:0;height:1.5pt" o:hralign="center" o:hrstd="t" o:hr="t"/>
        </w:pict>
      </w:r>
    </w:p>
    <w:p>
      <w:pPr>
        <w:pStyle w:val="Heading2"/>
      </w:pPr>
      <w:bookmarkStart w:id="32" w:name="appendix-b-informed-consent-text"/>
      <w:r>
        <w:t xml:space="preserve">Appendix B — Informed-consent text</w:t>
      </w:r>
      <w:bookmarkEnd w:id="32"/>
    </w:p>
    <w:p>
      <w:pPr>
        <w:pStyle w:val="FirstParagraph"/>
      </w:pPr>
      <w:r>
        <w:rPr>
          <w:i/>
        </w:rPr>
        <w:t xml:space="preserve">(Attach your full consent form here.)</w:t>
      </w:r>
    </w:p>
    <w:p>
      <w:r>
        <w:pict>
          <v:rect style="width:0;height:1.5pt" o:hralign="center" o:hrstd="t" o:hr="t"/>
        </w:pict>
      </w:r>
    </w:p>
    <w:p>
      <w:pPr>
        <w:pStyle w:val="FirstParagraph"/>
      </w:pPr>
      <w:r>
        <w:rPr>
          <w:i/>
        </w:rPr>
        <w:t xml:space="preserve">This text was prepared by SMAAT as a free template. It is informational and not legal advice; review with your institution’s DPO and ethics committee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SMAAT — Text for IRB / Ethics submission</dc:title>
  <dc:creator/>
  <cp:keywords/>
  <dcterms:created xsi:type="dcterms:W3CDTF">2026-05-27T08:01:49Z</dcterms:created>
  <dcterms:modified xsi:type="dcterms:W3CDTF">2026-05-27T08:01:49Z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Last updated: 2026-05-27</vt:lpwstr>
  </property>
  <property fmtid="{D5CDD505-2E9C-101B-9397-08002B2CF9AE}" pid="3" name="subtitle">
    <vt:lpwstr>Paste-and-adjust template for institutional review boards</vt:lpwstr>
  </property>
</Properties>
</file>